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regionali per l'acquisto della prima casa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regionali per l'acquisto della prima casa.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