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05 Lavori Pubblici, Mobilita', Manutenzione Strade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Amministrativo OO.PP.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Amministrazione OO.PP., Espropri PNRR e PINQUA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lavori di importo pari o superiore a 150.000 euro e inferiore a 1.000.000 di euro mediante il sistema della procedura negoziata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lavori di importo pari o superiore a 150.000 euro e inferiore a 1.000.000 di euro mediante il sistema della procedura negoziata.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