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di importo pari o superiore a 1.000.000 di euro mediante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di importo pari o superiore a 1.000.000 di euro mediante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