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Risorse Umane e Benessere Organizzativo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Personale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Mobilita' ex art. 34 bis, D.Lgs. 165/2001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Mobilita' ex art. 34 bis, D.Lgs. 165/2001.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