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Politiche Comunitarie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Sistema Informativo Territoriale opera attraverso la gestione dei dati cartografici e delle informazioni territoriali georeferenziate. Fornisce supporto a tutti i settori dell'Amministrazione, aggiorna le informazioni d'archivio ottimizzandone la gestione con gli altri sistemi informativi dell'Ente, gestisce in forma unificata le banche dati e gli osservatori territoriali integrandoli con informazioni provenienti da servizi interni e da altri Enti Territoriali rendendo i dati accessibili alla struttura tecnica dell'Ente.</w:t>
      </w:r>
    </w:p>
    <w:p>
      <w:pPr>
        <w:jc w:val="both"/>
      </w:pPr>
      <w:r>
        <w:rPr>
          <w:rFonts w:ascii="Times New Roman" w:hAnsi="Times New Roman"/>
          <w:sz w:val="22"/>
          <w:szCs w:val="22"/>
        </w:rPr>
        <w:t xml:space="preserve">Il servizio, inoltre, si occupa delle politiche comunitarie finalizzate alla ricerca di nuove fonti di finanziamento interagendo con i settori che, secondo competenza, seguono la sviluppo di progetti suscettibili di accedere a finanziamenti europei.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Ricerca di finanziamenti e partecipazione ai bandi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Comunitarie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