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Gestione del Patrimonio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risponde della gestione amministrativa dei contratti di locazione e/o di concessione e loro rinnovicon gestione dello scadenzario. Cura l'organizzazione e gestione di Fondi Comuni di investimento immobiliare chiusi in collaborazione con la SGR Invimit del Ministero dell'Economia e Finanze e il federalismo demaniale.</w:t>
      </w:r>
    </w:p>
    <w:p>
      <w:pPr>
        <w:jc w:val="both"/>
      </w:pPr>
      <w:r>
        <w:rPr>
          <w:rFonts w:ascii="Times New Roman" w:hAnsi="Times New Roman"/>
          <w:sz w:val="22"/>
          <w:szCs w:val="22"/>
        </w:rPr>
        <w:t xml:space="preserve">Il servizio cura e gestisce, infine, il piano delle antenne radio e TV.</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Vendita beni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immobili indisponibili per destinazione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Rimborso spese utenze immobili in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Gestione del Patrimonio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