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Unico per la Riscossione Coattiva delle Entrate Tributarie e Patrimoniali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garantisce l'espletamento delle attivita' amministrative e contabili relative alla predisposizione e alla gestione del bilancio nonche' dei rendiconti finanziari ed economico patrimoniali, sulla base dei principi della contabilita' finanziaria dell'Ente locale. Assicura la corretta gestione contabile delle entrate e delle uscite, coordinando i necessari controlli amministrativi al fine di consentire l'espressione del parere di regolarita' contabile e, per le uscite, l'attestazione di copertura finanziaria. Assicura il corretto espletamento delle attivita' connesse alla richiesta, stipulazione e gestione di mutui bancari e di altre forme di ricorso almercato dei capitali. Il servizio cura, inoltre: la predisposizione del rendiconto di gestione e connessa documentazione; la gestione della convenzione con la Tesoreria; i rapporti con i Revisori dei Conti. Gestione contabilita' economica.</w:t>
      </w:r>
    </w:p>
    <w:p>
      <w:pPr>
        <w:jc w:val="both"/>
      </w:pPr>
      <w:r>
        <w:rPr>
          <w:rFonts w:ascii="Times New Roman" w:hAnsi="Times New Roman"/>
          <w:sz w:val="22"/>
          <w:szCs w:val="22"/>
        </w:rPr>
        <w:t xml:space="preserve">Il servizio si occupa, inoltre, della gestione della contabilita' per conto delle societa' controllate in regime di contratto di servizio. Cura tutti gli aspetti giuridico-amministrativi relativi ai rapporti con le societa' partecipate dall'Ente, monitorando e controllando le partecipazioni attraverso analisi e valutazioni di carattere economico-finanziario, verificare il livello quali-quantitativo di erogazione dei servizi pubblici erogati dalle aziende partecipate e la coerenza dei risultati ottenuti dalle stesse aziende con le attese e gli indirizzi politico-programmatici dell'Ente.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Riscossione sanzioni ed emissione ruoli per sanzioni riscosse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Unico per la Riscossione Coattiva delle Entrate Tributarie e Patrimoniali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