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 Tecnico-Manutentivi Patrimonio e Cimiteri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provvede direttamente e predisposizione di atti e provvedimenti amministrativi in merito alle opere pubbliche e agli adempimenti per importi fino alla soglia di Euro 40.000,00 (oltre IVA) in materia di lavori pubblici di competenza del Servizio "Direzione Opere Pubbliche e ERP". Il servizio, inoltre, provvede alla predisposizione ed adozione degli atti inerenti all'approvazione dei vari livelli di progettazione ivi compresi capitolati e verifiche di competenza del Servizio "Direzione Opere Pubbliche e ERP", propedeutici alla trasmissione della Centrale Unica di Committenza dell'Amministrazione per l'espletamento delle procedure di gara. Al Servizio e' affidata altresi' la gestione amministrativa della fase esecutiva dell'opera pubblica (es: predisposizione SAL, perizie di variante, stato finale lavori, sospensione lavori e/o proroghe etc), di competenza del Servizio Direzione Opere Pubbliche e ERP". Il servizio cura, inoltre, la predisposizione di degli atti relativi all'affidamento incarichi a professionisti esterni (progettazione, direzione lavori, collaudi, etc.) di competenza del Servizio "Direzione Opere Pubbliche e ERP". Segue la predisposizione e il monitoraggio del programma triennale e dell'elenco annuale dei lavori pubblici. Attende alla gestione dell'archivio progetti, fornitori, appaltatori. Gestisce le procedure di finanza di progetto.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Coccia Milena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delle manutenzioni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Tecnico-Manutentivi Patrimonio e 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Tecnico-Manutentivi Patrimonio e 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Procedure di accatastamento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Tecnico-Manutentivi Patrimonio e 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Tecnico-Manutentivi Patrimonio e 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Tecnico-Manutentivi Patrimonio e 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Tecnico-Manutentivi Patrimonio e 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Istruttoria tecnica per vendita beni immobili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Tecnico-Manutentivi Patrimonio e 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Perizie di lavori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Tecnico-Manutentivi Patrimonio e 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Progettazione esterna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Tecnico-Manutentivi Patrimonio e 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Piano delle alienazioni e valorizzazioni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Tecnico-Manutentivi Patrimonio e 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Istruttoria tecnica per concessione immobili indisponibili per destinazione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Tecnico-Manutentivi Patrimonio e Cimiteri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