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SUAP - Promozione Commercio e Attivita' produttive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Con l'entrata in vigore del DPR n. 160 del 7 settembre 2010 viene adottato il Regolamento per la semplificazione ed il riordino della disciplina sullo Sportello Unico per le Attivita' Produttive.</w:t>
      </w:r>
    </w:p>
    <w:p>
      <w:pPr>
        <w:jc w:val="both"/>
      </w:pPr>
      <w:r>
        <w:rPr>
          <w:rFonts w:ascii="Times New Roman" w:hAnsi="Times New Roman"/>
          <w:sz w:val="22"/>
          <w:szCs w:val="22"/>
        </w:rPr>
        <w:t xml:space="preserve">Lo Sportello Unico per le Attivita' Produttive (SUAP) rappresenta l'unico soggetto pubblico di riferimento territoriale per tutti i procedimenti che abbiano ad oggetto l'esercizio di attivita' produttive, di prestazione di servizi e le azioni (relative a impianti produttivi di beni e servizi) di localizzazione, realizzazione, trasformazione, ristrutturazione o riconversione, ampliamento o trasferimento, nonche' cessazione o riattivazione delle suddette attivita'. Il SUAP nasce come strumento di semplificazione amministrativa per snellire i rapporti tra Pubblica Amministrazione ed utenza ed assicura al richiedente una risposta telematica unica e tempestiva in luogo degli altri uffici comunali e di tutte le amministrazioni pubbliche comunque coinvolte nello stesso procedimento amministrativo.</w:t>
      </w:r>
    </w:p>
    <w:p>
      <w:pPr>
        <w:jc w:val="both"/>
      </w:pPr>
      <w:r>
        <w:rPr>
          <w:rFonts w:ascii="Times New Roman" w:hAnsi="Times New Roman"/>
          <w:sz w:val="22"/>
          <w:szCs w:val="22"/>
        </w:rPr>
        <w:t xml:space="preserve">Ogni pratica deve dunque essere presentata e gestita esclusivamente in modalita' telematica garantendo l'interoperabilita' tra i vari soggetti pubblici interessati.</w:t>
      </w:r>
    </w:p>
    <w:p>
      <w:pPr>
        <w:jc w:val="both"/>
      </w:pPr>
      <w:r>
        <w:rPr>
          <w:rFonts w:ascii="Times New Roman" w:hAnsi="Times New Roman"/>
          <w:sz w:val="22"/>
          <w:szCs w:val="22"/>
        </w:rPr>
        <w:t xml:space="preserve">Sono esclusi dall'ambito di applicazione del regolamento gli impianti e le infrastrutture energetiche, le attivita' connesse all'impiego di sorgenti ionizzanti e di materie radioattive, gli impianti nucleari e di smaltimento di rifiuti radioattivi, le attivita' di prospezione, ricerca e coltivazione di idrocarburi, nonche' le infrastrutture strategiche e gli insediamenti produttivi di cui agli articoli 161 e seguenti del decreto legislativo 12/4/2006,n.163.</w:t>
      </w:r>
    </w:p>
    <w:p>
      <w:pPr>
        <w:jc w:val="both"/>
      </w:pPr>
      <w:r>
        <w:rPr>
          <w:rFonts w:ascii="Times New Roman" w:hAnsi="Times New Roman"/>
          <w:sz w:val="22"/>
          <w:szCs w:val="22"/>
        </w:rPr>
        <w:t xml:space="preserve">La disciplina del SUAP prevede un procedimento automatizzato (nel caso in cui le attivita' siano soggette alla disciplina della SCIA) ed un procedimento ordinario in presenza di istanze sulle quali l'amministrazione ha potere discrezionale (artt.7 e 8 del decreto del Presidente della Repubblica 7 settembre 2010, n.160).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SUAP - Promozione Commercio e Attivita' produttive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